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д.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Трифоновой Инны Олеговны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 </w:t>
      </w:r>
      <w:r>
        <w:rPr>
          <w:rStyle w:val="cat-UserDefinedgrp-41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ВУ </w:t>
      </w:r>
      <w:r>
        <w:rPr>
          <w:rStyle w:val="cat-UserDefinedgrp-42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Style w:val="cat-UserDefinedgrp-43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рифонова 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км.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втодорог</w:t>
      </w:r>
      <w:r>
        <w:rPr>
          <w:rFonts w:ascii="Times New Roman" w:eastAsia="Times New Roman" w:hAnsi="Times New Roman" w:cs="Times New Roman"/>
          <w:sz w:val="28"/>
          <w:szCs w:val="28"/>
        </w:rPr>
        <w:t>и тракт Тюменский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п.2 ОП ПДД РФ,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Лада Веста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/н </w:t>
      </w:r>
      <w:r>
        <w:rPr>
          <w:rStyle w:val="cat-UserDefinedgrp-4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котором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оборудован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материалов, </w:t>
      </w:r>
      <w:r>
        <w:rPr>
          <w:rFonts w:ascii="Times New Roman" w:eastAsia="Times New Roman" w:hAnsi="Times New Roman" w:cs="Times New Roman"/>
          <w:sz w:val="28"/>
          <w:szCs w:val="28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</w:t>
      </w:r>
      <w:r>
        <w:rPr>
          <w:rFonts w:ascii="Times New Roman" w:eastAsia="Times New Roman" w:hAnsi="Times New Roman" w:cs="Times New Roman"/>
          <w:sz w:val="28"/>
          <w:szCs w:val="28"/>
        </w:rPr>
        <w:t>Трифонова И.О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 ч. 2 ст. 12.2 КоАП РФ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с государственными регистрационными знаками, </w:t>
      </w:r>
      <w:r>
        <w:rPr>
          <w:rFonts w:ascii="Times New Roman" w:eastAsia="Times New Roman" w:hAnsi="Times New Roman" w:cs="Times New Roman"/>
          <w:sz w:val="28"/>
          <w:szCs w:val="28"/>
        </w:rPr>
        <w:t>оборудованными с применением материалов, 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привлекаемое лицо, будучи извещенным надлежащим образом о времени и месте судебного разбирательства, не присутствовало, о причинах неявки не уведомило, ходатайство об отложении судебного заседания не заявляло.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статьи 12.2 КоАП РФ, административным правонарушением признается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 2.3.1. Правил дорожного движения РФ, утвержденных постановлением Совета Министров-Правительства РФ от 23.10.1993 №1090, водитель транспортного средства обязан перед выездом проверить и в пути обеспечить исправное техническое состояние транспортного средства в соответствии с </w:t>
      </w:r>
      <w:hyperlink w:anchor="sub_2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Основными положениями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запрещается эксплуатация: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 (согласно </w:t>
      </w:r>
      <w:hyperlink w:anchor="sub_21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приложению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</w:t>
      </w:r>
      <w:r>
        <w:rPr>
          <w:rFonts w:ascii="Times New Roman" w:eastAsia="Times New Roman" w:hAnsi="Times New Roman" w:cs="Times New Roman"/>
          <w:sz w:val="28"/>
          <w:szCs w:val="28"/>
        </w:rPr>
        <w:t>а механических транспортных средствах и прицепах должны быть установлены на предусмотренных для этого местах регистрационные знаки соответствующего образца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разъяснениям, изложенным в абзаце 8 пункта 4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качестве устройств или материалов, препятствующих идентификации государственных регистрационных знаков либо позволяющих их видоизменить или скрыть, могут расцениваться различные механизмы, приборы, приспособления и иное оборудование (шторки, электромагниты и </w:t>
      </w:r>
      <w:r>
        <w:rPr>
          <w:rFonts w:ascii="Times New Roman" w:eastAsia="Times New Roman" w:hAnsi="Times New Roman" w:cs="Times New Roman"/>
          <w:sz w:val="28"/>
          <w:szCs w:val="28"/>
        </w:rPr>
        <w:t>т.п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 и тогда, когда они не были приведены в действие в момент выявления административного правонарушения, однако позволяли водителю при совершении определенных действий видоизменить или скрыть государственный регистрационный знак), а также искусственные материалы (например, листы бумаги, картон) либо природные материалы (в частности, листва, грязь, снег), если визуальный осмотр транспортного средства позволяет с очевидностью сделать вывод о том, что они нанесены с целью затруднения или невозможности идентификации государственных регистрационных знаков (например, загрязнение фрагмента государственного регистрационного знака не связано с погодными условиями или не обусловлено процессом движения, допускающим </w:t>
      </w:r>
      <w:r>
        <w:rPr>
          <w:rFonts w:ascii="Times New Roman" w:eastAsia="Times New Roman" w:hAnsi="Times New Roman" w:cs="Times New Roman"/>
          <w:sz w:val="28"/>
          <w:szCs w:val="28"/>
        </w:rPr>
        <w:t>самозагрязнение</w:t>
      </w:r>
      <w:r>
        <w:rPr>
          <w:rFonts w:ascii="Times New Roman" w:eastAsia="Times New Roman" w:hAnsi="Times New Roman" w:cs="Times New Roman"/>
          <w:sz w:val="28"/>
          <w:szCs w:val="28"/>
        </w:rPr>
        <w:t>). Доказательством использования тех или иных устройств (материалов) в указанных целях может выступать, например, произведенная уполномоченным должностным лицом в ходе выявления административного правонарушения видеозапись (фотографии), которая приобщается к материалам дела об административном правонарушении и подлежит оценке по правилам статьи 26.11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об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16.01.2026 в 23 час. 26 мин., 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Трифонова 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7 км. автодороги тракт Тюменский г. Сургута ХМАО-Югра, в нарушение п.2 ОП ПДД РФ, управляла транспортным средством Лада Веста г/н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котором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регистрационные знаки, оборудованы с применением материалов, </w:t>
      </w:r>
      <w:r>
        <w:rPr>
          <w:rFonts w:ascii="Times New Roman" w:eastAsia="Times New Roman" w:hAnsi="Times New Roman" w:cs="Times New Roman"/>
          <w:sz w:val="28"/>
          <w:szCs w:val="28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чего, </w:t>
      </w:r>
      <w:r>
        <w:rPr>
          <w:rFonts w:ascii="Times New Roman" w:eastAsia="Times New Roman" w:hAnsi="Times New Roman" w:cs="Times New Roman"/>
          <w:sz w:val="28"/>
          <w:szCs w:val="28"/>
        </w:rPr>
        <w:t>Трифонова И.О</w:t>
      </w:r>
      <w:r>
        <w:rPr>
          <w:rFonts w:ascii="Times New Roman" w:eastAsia="Times New Roman" w:hAnsi="Times New Roman" w:cs="Times New Roman"/>
          <w:sz w:val="28"/>
          <w:szCs w:val="28"/>
        </w:rPr>
        <w:t>. совершила административное правонарушение, предусмотренное ч. 2 ст. 12.2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фотоснимк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транспортном средстве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Лада Веста г/н </w:t>
      </w:r>
      <w:r>
        <w:rPr>
          <w:rStyle w:val="cat-UserDefinedgrp-4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передний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задний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знак, оборудован с применением материалов, </w:t>
      </w:r>
      <w:r>
        <w:rPr>
          <w:rFonts w:ascii="Times New Roman" w:eastAsia="Times New Roman" w:hAnsi="Times New Roman" w:cs="Times New Roman"/>
          <w:sz w:val="28"/>
          <w:szCs w:val="28"/>
        </w:rPr>
        <w:t>препятствующих идентификации государственных регистрационных знаков</w:t>
      </w:r>
      <w:r>
        <w:rPr>
          <w:rFonts w:ascii="Times New Roman" w:eastAsia="Times New Roman" w:hAnsi="Times New Roman" w:cs="Times New Roman"/>
          <w:sz w:val="28"/>
          <w:szCs w:val="28"/>
        </w:rPr>
        <w:t>, использован снег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судом изучены: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заявление о привлечении к административной ответственности;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операции с ВУ;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о 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 копия свидетельства о регистрации ТС; копия водительского удостоверения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Вышеизложенные доказательства в своей совокупности относимы, допустимы, достоверны и свидетельствуют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Трифоновой 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</w:t>
      </w:r>
      <w:r>
        <w:rPr>
          <w:rFonts w:ascii="Times New Roman" w:eastAsia="Times New Roman" w:hAnsi="Times New Roman" w:cs="Times New Roman"/>
          <w:sz w:val="28"/>
          <w:szCs w:val="28"/>
        </w:rPr>
        <w:t>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со ст. 4.2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ст. 4.3 КоАП РФ, суд признает повторность совершения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ст. 29.10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Трифонову Инну Олеговну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 12.2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и подвергнуть наказанию в виде административного штрафа в размере 5 000 рублей.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 БИК 007162163 ОКТМО 71876000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032000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1669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Взыскатель: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 по ХМАО-Югре, адрес: ул. Ленина д. 55, </w:t>
      </w: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>, Тюменской области, 628000.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подлежит уплате в течение 60 дней, копия квитанции предоставляется в 101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41rplc-9">
    <w:name w:val="cat-UserDefined grp-41 rplc-9"/>
    <w:basedOn w:val="DefaultParagraphFont"/>
  </w:style>
  <w:style w:type="character" w:customStyle="1" w:styleId="cat-UserDefinedgrp-42rplc-12">
    <w:name w:val="cat-UserDefined grp-42 rplc-12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5rplc-44">
    <w:name w:val="cat-UserDefined grp-45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